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Stakeholders</w:t>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Anya: Anya is 28-year-old woman who was homeless for several years. She currently has public assistance for housing, but has a hard time finding a job due to a criminal record.</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 A transgender woman with a long history as a queer and trans community activist. She is 62 and works at a local grocery store. She has adult children she is very close to.</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Derek: Derek is a local young adult with a developmental disability. He mostly relies on support staff through a local nonprofit for transportation. He works at the city transit center most days.</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 Kira is a 22-year-old undocumented woman who has almost finished her associate’s degree at a local community college. She has a 2-year-old daughter and lives with her sister.</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Considerations</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Given the conversations we’ve had about risk and protective factors for sexual violence, which factors do you think may be at play in the lives of the stakeholders listed above? Are there any risk factors that might be common to multiple stakeholders?</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role might a housing co-operative play in addressing the risk and protective factors we identified for this group?</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role might a worker co-operative or a retail co-operative play in addressing the risk and protective factors we identified for this group?</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is easy to fall into the trap of creating programming and policy FOR marginalized people rather than WITH marginalized people. What structural changes would be necessary or helpful to assist the people you are considering to direct change within your organization themselves? What support, resources, or assistance might put them in positions of leadership, rather than being just one consideration in a long list?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