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Stakeholders</w:t>
      </w:r>
    </w:p>
    <w:p w:rsidR="00000000" w:rsidDel="00000000" w:rsidP="00000000" w:rsidRDefault="00000000" w:rsidRPr="00000000">
      <w:pP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Anya: Anya is 28-year-old woman who was homeless for several years. She currently has public assistance for housing, but has a hard time finding a job due to a criminal record.</w:t>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Marian: A transgender woman with a long history as a queer and trans community activist. She is 62 and works at a local grocery store. She has adult children she is very close to.</w:t>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Derek: Derek is a local young adult with a developmental disability. He mostly relies on support staff through a local nonprofit for transportation. He works at the city transit center most days.</w:t>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Kira: Kira is a 22-year-old undocumented woman who has almost finished her associate’s degree at a local community college. She has a 2-year-old daughter and lives with her sister.</w:t>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Considerations</w:t>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Given the conversations we’ve had about risk and protective factors for sexual violence, which factors do you think may be at play in the lives of the stakeholders listed above? Are there any risk factors that might be common to multiple stakeholders?</w:t>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role might a housing co-operative play in addressing the risk and protective factors we identified for this group?</w:t>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role might a worker co-operative or a retail co-operative play in addressing the risk and protective factors we identified for this group?</w:t>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 is easy to fall into the trap of creating programming and policy FOR marginalized people rather than WITH marginalized people. What structural changes would be necessary or helpful to assist the people you are considering to direct change within your organization themselves? What support, resources, or assistance might put them in positions of leadership, rather than being just one consideration in a long list?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