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Stakeholders</w:t>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Kira: Kira is a 22-year-old undocumented woman who has almost finished her associate’s degree at a local community college. She has a 2-year-old daughter and lives with her sister.</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 Sara is a public school teacher. She is a survivor of sexual assault and an activist with her local Black Lives Matter chapter. She identifies as fat and runs a body-positive discussion group.</w:t>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Garret: Garret is a 77-year-old retired welder. He is living with diabetes. His first language is Spanish; he speaks some English, but is not fluent. He is very connected to his old union.</w:t>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 recently-graduated ex-high school athlete and Eagle Scout. His parents are first-generation Colombian immigrants.</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Considerations</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Given the conversations we’ve had about risk and protective factors for sexual violence, which factors do you think may be at play in the lives of the stakeholders listed above? Are there any risk factors that might be common to multiple stakeholders?</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role might a housing co-operative play in addressing the risk and protective factors we identified for this group?</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role might a worker co-operative or a retail co-operative play in addressing the risk and protective factors we identified for this group?</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easy to fall into the trap of creating programming and policy FOR marginalized people rather than WITH marginalized people. What structural changes would be necessary or helpful to assist the people you are considering to direct change within your organization themselves? What support, resources, or assistance might put them in positions of leadership, rather than being just one consideration in a long list?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