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76" w:lineRule="auto"/>
        <w:contextualSpacing w:val="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Stakeholders</w:t>
      </w:r>
    </w:p>
    <w:p w:rsidR="00000000" w:rsidDel="00000000" w:rsidP="00000000" w:rsidRDefault="00000000" w:rsidRPr="00000000">
      <w:pP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Kira: Kira is a 22-year-old undocumented woman who has almost finished her associate’s degree at a local community college. She has a 2-year-old daughter and lives with her sister.</w:t>
      </w:r>
    </w:p>
    <w:p w:rsidR="00000000" w:rsidDel="00000000" w:rsidP="00000000" w:rsidRDefault="00000000" w:rsidRPr="00000000">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Sara is a public school teacher. She is a survivor of sexual assault and an activist with her local Black Lives Matter chapter. She identifies as fat and runs a body-positive discussion group.</w:t>
      </w:r>
    </w:p>
    <w:p w:rsidR="00000000" w:rsidDel="00000000" w:rsidP="00000000" w:rsidRDefault="00000000" w:rsidRPr="00000000">
      <w:pPr>
        <w:spacing w:line="331.2"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Garret: Garret is a 77-year-old retired welder. He is living with diabetes. His first language is Spanish; he speaks some English, but is not fluent. He is very connected to his old union.</w:t>
      </w:r>
    </w:p>
    <w:p w:rsidR="00000000" w:rsidDel="00000000" w:rsidP="00000000" w:rsidRDefault="00000000" w:rsidRPr="00000000">
      <w:pPr>
        <w:spacing w:line="331.2"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A recently-graduated ex-high school athlete and Eagle Scout. His parents are first-generation Colombian immigrants.</w:t>
      </w:r>
    </w:p>
    <w:p w:rsidR="00000000" w:rsidDel="00000000" w:rsidP="00000000" w:rsidRDefault="00000000" w:rsidRPr="00000000">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Considerations</w:t>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Given the conversations we’ve had about risk and protective factors for sexual violence, which factors do you think may be at play in the lives of the stakeholders listed above? Are there any risk factors that might be common to multiple stakeholders?</w:t>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role might a housing co-operative play in addressing the risk and protective factors we identified for this group?</w:t>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role might a worker co-operative or a retail co-operative play in addressing the risk and protective factors we identified for this group?</w:t>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is easy to fall into the trap of creating programming and policy FOR marginalized people rather than WITH marginalized people. What structural changes would be necessary or helpful to assist the people you are considering to direct change within your organization themselves? What support, resources, or assistance might put them in positions of leadership, rather than being just one consideration in a long list?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