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40" w:lineRule="auto"/>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Important Terminology &amp; Definitions</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misogyny &amp; transphobia</w:t>
      </w:r>
      <w:r w:rsidDel="00000000" w:rsidR="00000000" w:rsidRPr="00000000">
        <w:rPr>
          <w:rFonts w:ascii="Times New Roman" w:cs="Times New Roman" w:eastAsia="Times New Roman" w:hAnsi="Times New Roman"/>
          <w:sz w:val="24"/>
          <w:szCs w:val="24"/>
          <w:rtl w:val="0"/>
        </w:rPr>
        <w:t xml:space="preserve">: the combinations of structural and interpersonal violence that constitute the systemic oppression of women &amp; transgender people, respectively</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intersectionality</w:t>
      </w:r>
      <w:r w:rsidDel="00000000" w:rsidR="00000000" w:rsidRPr="00000000">
        <w:rPr>
          <w:rFonts w:ascii="Times New Roman" w:cs="Times New Roman" w:eastAsia="Times New Roman" w:hAnsi="Times New Roman"/>
          <w:sz w:val="24"/>
          <w:szCs w:val="24"/>
          <w:rtl w:val="0"/>
        </w:rPr>
        <w:t xml:space="preserve">: the 3rd wave feminist theoretical principle arguing that oppressive systems interact and reinforce one another in complex, unpredictable ways that result in experiences that are not merely the sum of the individual oppressive systems at work</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transmisogyny</w:t>
      </w:r>
      <w:r w:rsidDel="00000000" w:rsidR="00000000" w:rsidRPr="00000000">
        <w:rPr>
          <w:rFonts w:ascii="Times New Roman" w:cs="Times New Roman" w:eastAsia="Times New Roman" w:hAnsi="Times New Roman"/>
          <w:sz w:val="24"/>
          <w:szCs w:val="24"/>
          <w:rtl w:val="0"/>
        </w:rPr>
        <w:t xml:space="preserve">: the particular systems of structural and interpersonal violence that target people at the intersection of misogyny and transphobia (e.g. trans women)</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transmisogynoir</w:t>
      </w:r>
      <w:r w:rsidDel="00000000" w:rsidR="00000000" w:rsidRPr="00000000">
        <w:rPr>
          <w:rFonts w:ascii="Times New Roman" w:cs="Times New Roman" w:eastAsia="Times New Roman" w:hAnsi="Times New Roman"/>
          <w:sz w:val="24"/>
          <w:szCs w:val="24"/>
          <w:rtl w:val="0"/>
        </w:rPr>
        <w:t xml:space="preserve">: as “transmisogyny”, but people at the intersection of misogyny, transphobia, and anti-blackness (e.g. black trans women)</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CAMAB &amp; CAFAB</w:t>
      </w:r>
      <w:r w:rsidDel="00000000" w:rsidR="00000000" w:rsidRPr="00000000">
        <w:rPr>
          <w:rFonts w:ascii="Times New Roman" w:cs="Times New Roman" w:eastAsia="Times New Roman" w:hAnsi="Times New Roman"/>
          <w:sz w:val="24"/>
          <w:szCs w:val="24"/>
          <w:rtl w:val="0"/>
        </w:rPr>
        <w:t xml:space="preserve">: acronyms standing for “Coercively Assigned Male At Birth” and “Coercively Assigned Female At Birth”; primarily used by trans and intersex people to recognize the violence inherent in imposing gender onto infants</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transfeminism</w:t>
      </w:r>
      <w:r w:rsidDel="00000000" w:rsidR="00000000" w:rsidRPr="00000000">
        <w:rPr>
          <w:rFonts w:ascii="Times New Roman" w:cs="Times New Roman" w:eastAsia="Times New Roman" w:hAnsi="Times New Roman"/>
          <w:sz w:val="24"/>
          <w:szCs w:val="24"/>
          <w:rtl w:val="0"/>
        </w:rPr>
        <w:t xml:space="preserve">: a framework for feminist thought that centers the experiences of transgender people, and especially transgender women</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sex &amp; gender</w:t>
      </w:r>
      <w:r w:rsidDel="00000000" w:rsidR="00000000" w:rsidRPr="00000000">
        <w:rPr>
          <w:rFonts w:ascii="Times New Roman" w:cs="Times New Roman" w:eastAsia="Times New Roman" w:hAnsi="Times New Roman"/>
          <w:sz w:val="24"/>
          <w:szCs w:val="24"/>
          <w:rtl w:val="0"/>
        </w:rPr>
        <w:t xml:space="preserve">: socially constructed categories of “man and woman”/”male and female”</w:t>
      </w:r>
    </w:p>
    <w:p w:rsidR="00000000" w:rsidDel="00000000" w:rsidP="00000000" w:rsidRDefault="00000000" w:rsidRPr="00000000">
      <w:pPr>
        <w:spacing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bl>
      <w:tblPr>
        <w:tblStyle w:val="Table1"/>
        <w:tblW w:w="10710.0" w:type="dxa"/>
        <w:jc w:val="left"/>
        <w:tblInd w:w="-6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7.5"/>
        <w:gridCol w:w="2677.5"/>
        <w:gridCol w:w="2677.5"/>
        <w:gridCol w:w="2677.5"/>
        <w:tblGridChange w:id="0">
          <w:tblGrid>
            <w:gridCol w:w="2677.5"/>
            <w:gridCol w:w="2677.5"/>
            <w:gridCol w:w="2677.5"/>
            <w:gridCol w:w="2677.5"/>
          </w:tblGrid>
        </w:tblGridChange>
      </w:tblGrid>
      <w:tr>
        <w:trPr>
          <w:trHeight w:val="48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Preventing sexual violence and relationship violence requires that we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Knowledge</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information and skills needed to build healthy relationships</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consent education; comprehensive sex ed; communication skills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Resources</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social and material resources necessary for independence</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accessible and affordable housing, food &amp; healthcare; meaningful social connection &amp; support</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Culture</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attitudes, beliefs, and contexts that normalize violence</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hypersexualization of marginalized people; ubiquity of violent pornography</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Power</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structures that allow people to harm others without consequence</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Examples: prisons and police; patriarchal behaviors, attitudes, and beliefs; structural racism</w:t>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these inequalities for trans women might necessitate...</w:t>
            </w:r>
          </w:p>
        </w:tc>
      </w:tr>
      <w:tr>
        <w:trPr>
          <w:trHeight w:val="3120" w:hRule="atLeast"/>
        </w:trPr>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Knowledge</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that educational materials contain accurate information inclusive of trans women; Ensure data collection mechanisms capture trans women’s lived experiences</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Resources</w:t>
            </w:r>
            <w:r w:rsidDel="00000000" w:rsidR="00000000" w:rsidRPr="00000000">
              <w:rPr>
                <w:rtl w:val="0"/>
              </w:rPr>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that services (shelters, housing/food assistance, mental health etc.) are accessible to trans women; Meeting needs specific to TW (hormones, name changes, etc.); Fighting (trans)misogynist patterns of resource distribution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Culture</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Challenging the dehumanizing portrayals of trans women as predatory/pathetic; End the hypersexualization of trans women through exploitative porn; Ending patterns of male dominance over women</w:t>
            </w:r>
          </w:p>
        </w:tc>
        <w:tc>
          <w:tcPr>
            <w:shd w:fill="auto" w:val="clear"/>
            <w:tcMar>
              <w:top w:w="100.0" w:type="dxa"/>
              <w:left w:w="100.0" w:type="dxa"/>
              <w:bottom w:w="100.0" w:type="dxa"/>
              <w:right w:w="100.0" w:type="dxa"/>
            </w:tcMar>
            <w:vAlign w:val="top"/>
          </w:tcPr>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Power</w:t>
            </w:r>
          </w:p>
          <w:p w:rsidR="00000000" w:rsidDel="00000000" w:rsidP="00000000" w:rsidRDefault="00000000" w:rsidRPr="00000000">
            <w:pPr>
              <w:widowControl w:val="0"/>
              <w:spacing w:line="24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or radically restructure systems of power that disproportionately target trans women (police, prisons, medical, etc.); Facilitate the development of trans women as advocates for ourselves</w:t>
            </w:r>
          </w:p>
        </w:tc>
      </w:tr>
    </w:tbl>
    <w:p w:rsidR="00000000" w:rsidDel="00000000" w:rsidP="00000000" w:rsidRDefault="00000000" w:rsidRPr="00000000">
      <w:pPr>
        <w:spacing w:line="240" w:lineRule="auto"/>
        <w:contextualSpacing w:val="0"/>
        <w:jc w:val="left"/>
        <w:rPr>
          <w:sz w:val="24"/>
          <w:szCs w:val="24"/>
        </w:rPr>
      </w:pPr>
      <w:r w:rsidDel="00000000" w:rsidR="00000000" w:rsidRPr="00000000">
        <w:rPr>
          <w:rtl w:val="0"/>
        </w:rPr>
      </w:r>
    </w:p>
    <w:sectPr>
      <w:foot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t xml:space="preserve">Where else does transmisogyny operate in your organization/community? Where do resources disproportionately accrue to cis people and men? What will it take to interrupt those patterns?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