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Stakeholders</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Derek: Derek is a local young adult with a developmental disability. He mostly relies on support staff through a local nonprofit for transportation. He works at the city transit center most days.</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Jen is a nurse and safer sex educator at a local women’s clinic. Jen is hard-of-hearing and relies on a hearing aid or ASL for communication. She has a 12-year-old son.</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J is a community activist and works for a local food security nonprofit. They rely on a wheelchair or crutches for mobility. J is genderqueer.</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Garret: Garret is a 77-year-old retired welder. He is living with diabetes. His first language is Spanish; he speaks some English, but is not fluent. He is very connected to his old union.</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Considerations</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Given the conversations we’ve had about risk and protective factors for sexual violence, which factors do you think may be at play in the lives of the stakeholders listed above? Are there any risk factors that might be common to multiple stakeholders?</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role might a housing co-operative play in addressing the risk and protective factors we identified for this group?</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role might a worker co-operative or a retail co-operative play in addressing the risk and protective factors we identified for this group?</w:t>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easy to fall into the trap of creating programming and policy FOR marginalized people rather than WITH marginalized people. What structural changes would be necessary or helpful to assist the people you are considering to direct change within your organization themselves? What support, resources, or assistance might put them in positions of leadership, rather than being just one consideration in a long list?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