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Stakeholders</w:t>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 Kira is a 22-year-old undocumented woman who has almost finished her associate’s degree at a local community college. She has a 2-year-old daughter and lives with her sister.</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Sara is a public school teacher. She is a survivor of sexual assault and an activist with her local Black Lives Matter chapter. She identifies as fat and runs a body-positive discussion group.</w:t>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Garret: Garret is a 77-year-old retired welder. He is living with diabetes. His first language is Spanish; he speaks some English, but is not fluent. He is very connected to his old union.</w:t>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 recently-graduated ex-high school athlete and Eagle Scout. His parents are first-generation Colombian immigrants.</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Considerations</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Given the conversations we’ve had about risk and protective factors for sexual violence, which factors do you think may be at play in the lives of the stakeholders listed above? Are there any risk factors that might be common to multiple stakeholders?</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role might a housing co-operative play in addressing the risk and protective factors we identified for this group?</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role might a worker co-operative or a retail co-operative play in addressing the risk and protective factors we identified for this group?</w:t>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is easy to fall into the trap of creating programming and policy FOR marginalized people rather than WITH marginalized people. What structural changes would be necessary or helpful to assist the people you are considering to direct change within your organization themselves? What support, resources, or assistance might put them in positions of leadership, rather than being just one consideration in a long list?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